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9D" w:rsidRPr="00020E9D" w:rsidRDefault="00020E9D" w:rsidP="00020E9D">
      <w:pPr>
        <w:shd w:val="clear" w:color="auto" w:fill="FFFFFF"/>
        <w:ind w:firstLine="567"/>
        <w:jc w:val="both"/>
        <w:outlineLvl w:val="0"/>
        <w:rPr>
          <w:rFonts w:cs="Times New Roman"/>
          <w:color w:val="2D2D2D"/>
          <w:kern w:val="36"/>
          <w:sz w:val="26"/>
          <w:szCs w:val="26"/>
        </w:rPr>
      </w:pPr>
      <w:r w:rsidRPr="00020E9D">
        <w:rPr>
          <w:rFonts w:cs="Times New Roman"/>
          <w:color w:val="2D2D2D"/>
          <w:kern w:val="36"/>
          <w:sz w:val="26"/>
          <w:szCs w:val="26"/>
        </w:rPr>
        <w:t>Разъяснения Госстандарта по вопросам отнесения продукции к новым потребительским товарам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 опубликовано 24.10.2022 10:06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 19 октября 2022 г. было подписано постановление Совета Министров Республики Беларусь № 713 «О системе регулирования цен» (далее – </w:t>
      </w:r>
      <w:hyperlink r:id="rId8" w:history="1">
        <w:r w:rsidRPr="00020E9D">
          <w:rPr>
            <w:rFonts w:cs="Times New Roman"/>
            <w:color w:val="0563B1"/>
            <w:sz w:val="26"/>
            <w:szCs w:val="26"/>
          </w:rPr>
          <w:t>постановление № 713</w:t>
        </w:r>
      </w:hyperlink>
      <w:r w:rsidRPr="00020E9D">
        <w:rPr>
          <w:rFonts w:cs="Times New Roman"/>
          <w:color w:val="282828"/>
          <w:sz w:val="26"/>
          <w:szCs w:val="26"/>
        </w:rPr>
        <w:t>).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С учетом содержания поступивших в Госстандарт вопросов обращаем внимание, что разъяснения по продукции, включенной в Перечень регулируемых потребительских товаров (приложение 1 к постановлению № 713), относятся к компетенции Министерства антимонопольного регулирования и торговли Республики Беларусь. Направить вопросы по данному аспекту можно, воспользовавшись </w:t>
      </w:r>
      <w:hyperlink r:id="rId9" w:history="1">
        <w:r w:rsidRPr="00020E9D">
          <w:rPr>
            <w:rFonts w:cs="Times New Roman"/>
            <w:color w:val="0563B1"/>
            <w:sz w:val="26"/>
            <w:szCs w:val="26"/>
          </w:rPr>
          <w:t>онлайн-анкетой</w:t>
        </w:r>
      </w:hyperlink>
      <w:r w:rsidRPr="00020E9D">
        <w:rPr>
          <w:rFonts w:cs="Times New Roman"/>
          <w:color w:val="282828"/>
          <w:sz w:val="26"/>
          <w:szCs w:val="26"/>
        </w:rPr>
        <w:t> на сайте министерства.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hyperlink r:id="rId10" w:tgtFrame="_blank" w:history="1">
        <w:r w:rsidRPr="00020E9D">
          <w:rPr>
            <w:rFonts w:cs="Times New Roman"/>
            <w:color w:val="0563B1"/>
            <w:sz w:val="26"/>
            <w:szCs w:val="26"/>
          </w:rPr>
          <w:t>Разъяснение МАРТ по отнесению товаров к перечню регулируемых потребительских товаров в пределах компетенции</w:t>
        </w:r>
      </w:hyperlink>
      <w:r w:rsidRPr="00020E9D">
        <w:rPr>
          <w:rFonts w:cs="Times New Roman"/>
          <w:color w:val="282828"/>
          <w:sz w:val="26"/>
          <w:szCs w:val="26"/>
        </w:rPr>
        <w:t>. 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Является ли выпускаемая продукция новым потребительским товаром, ее производитель определяет самостоятельно.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В соответствии с подпунктом 3.4 пункта 3 постановления № 713 под новыми потребительскими товарами понимаются: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b/>
          <w:bCs/>
          <w:color w:val="282828"/>
          <w:sz w:val="26"/>
          <w:szCs w:val="26"/>
        </w:rPr>
        <w:t>1. новая продукция</w:t>
      </w:r>
      <w:r w:rsidRPr="00020E9D">
        <w:rPr>
          <w:rFonts w:cs="Times New Roman"/>
          <w:color w:val="282828"/>
          <w:sz w:val="26"/>
          <w:szCs w:val="26"/>
        </w:rPr>
        <w:t> (впервые произведенная продукция), к которой относится продукция: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 xml:space="preserve">впервые </w:t>
      </w:r>
      <w:proofErr w:type="gramStart"/>
      <w:r w:rsidRPr="00020E9D">
        <w:rPr>
          <w:rFonts w:cs="Times New Roman"/>
          <w:color w:val="282828"/>
          <w:sz w:val="26"/>
          <w:szCs w:val="26"/>
        </w:rPr>
        <w:t>произведенная</w:t>
      </w:r>
      <w:proofErr w:type="gramEnd"/>
      <w:r w:rsidRPr="00020E9D">
        <w:rPr>
          <w:rFonts w:cs="Times New Roman"/>
          <w:color w:val="282828"/>
          <w:sz w:val="26"/>
          <w:szCs w:val="26"/>
        </w:rPr>
        <w:t xml:space="preserve"> изготовителем;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не имеющая аналогов на территории Республики Беларусь;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впервые произведенная изготовителем и не имеющая аналогов на территории Республики Беларусь;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proofErr w:type="gramStart"/>
      <w:r w:rsidRPr="00020E9D">
        <w:rPr>
          <w:rFonts w:cs="Times New Roman"/>
          <w:b/>
          <w:bCs/>
          <w:color w:val="282828"/>
          <w:sz w:val="26"/>
          <w:szCs w:val="26"/>
        </w:rPr>
        <w:t>2.    новый вид продукции</w:t>
      </w:r>
      <w:r w:rsidRPr="00020E9D">
        <w:rPr>
          <w:rFonts w:cs="Times New Roman"/>
          <w:color w:val="282828"/>
          <w:sz w:val="26"/>
          <w:szCs w:val="26"/>
        </w:rPr>
        <w:t> – продукция, уже производимая ранее изготовителем, но получившая новое обозначение или новое определение (наименование), которая подвергалась значительной степени технологических изменений и (или) изменению классификационного кода единой Товарной номенклатуры внешнеэкономической деятельности Евразийского экономического союза на уровне любого из первых четырех знаков, произошедшее в результате переработки (обработки).</w:t>
      </w:r>
      <w:proofErr w:type="gramEnd"/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При этом новое обозначение или новое определение (наименование) обусловлено: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значительной степенью усовершенствования или модификацией ее свойств, параметров, признаков или характеристик;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измененной областью применения;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новым или в значительной степени отличающимся (не менее чем на 30 процентов по сравнению с ранее выпускавшейся продукцией) составом применяемых материалов или компонентов.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b/>
          <w:bCs/>
          <w:color w:val="282828"/>
          <w:sz w:val="26"/>
          <w:szCs w:val="26"/>
        </w:rPr>
        <w:t>Примеры новых потребительских товаров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Если предприятие изготавливало только обувь и начало выпускать сумки, то сумки именно для этого предприятия будут новой продукцией.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Организация изготавливала тарелки столовые размером 225 мм из стекла. Затем стала выпускать тарелки столовые размером 225 мм из металла. Эти тарелки (т.е. из металла) будут являться новым видом продукции.</w:t>
      </w:r>
    </w:p>
    <w:p w:rsidR="00020E9D" w:rsidRPr="00020E9D" w:rsidRDefault="00020E9D" w:rsidP="00020E9D">
      <w:pPr>
        <w:shd w:val="clear" w:color="auto" w:fill="FFFFFF"/>
        <w:ind w:firstLine="567"/>
        <w:jc w:val="both"/>
        <w:rPr>
          <w:rFonts w:cs="Times New Roman"/>
          <w:color w:val="282828"/>
          <w:sz w:val="26"/>
          <w:szCs w:val="26"/>
        </w:rPr>
      </w:pPr>
      <w:r w:rsidRPr="00020E9D">
        <w:rPr>
          <w:rFonts w:cs="Times New Roman"/>
          <w:color w:val="282828"/>
          <w:sz w:val="26"/>
          <w:szCs w:val="26"/>
        </w:rPr>
        <w:t>При определении новой продукции, не име</w:t>
      </w:r>
      <w:bookmarkStart w:id="0" w:name="_GoBack"/>
      <w:bookmarkEnd w:id="0"/>
      <w:r w:rsidRPr="00020E9D">
        <w:rPr>
          <w:rFonts w:cs="Times New Roman"/>
          <w:color w:val="282828"/>
          <w:sz w:val="26"/>
          <w:szCs w:val="26"/>
        </w:rPr>
        <w:t>ющей аналогов на территории Республики Беларусь, рекомендуется воспользоваться доступными информационными ресурсами, содержащими сведения о выпускаемой продукции, – порталами «</w:t>
      </w:r>
      <w:proofErr w:type="spellStart"/>
      <w:r w:rsidRPr="00020E9D">
        <w:rPr>
          <w:rFonts w:cs="Times New Roman"/>
          <w:color w:val="282828"/>
          <w:sz w:val="26"/>
          <w:szCs w:val="26"/>
        </w:rPr>
        <w:fldChar w:fldCharType="begin"/>
      </w:r>
      <w:r w:rsidRPr="00020E9D">
        <w:rPr>
          <w:rFonts w:cs="Times New Roman"/>
          <w:color w:val="282828"/>
          <w:sz w:val="26"/>
          <w:szCs w:val="26"/>
        </w:rPr>
        <w:instrText xml:space="preserve"> HYPERLINK "https://xn--80aeisxqh1b.xn--90ais/" </w:instrText>
      </w:r>
      <w:r w:rsidRPr="00020E9D">
        <w:rPr>
          <w:rFonts w:cs="Times New Roman"/>
          <w:color w:val="282828"/>
          <w:sz w:val="26"/>
          <w:szCs w:val="26"/>
        </w:rPr>
        <w:fldChar w:fldCharType="separate"/>
      </w:r>
      <w:r w:rsidRPr="00020E9D">
        <w:rPr>
          <w:rFonts w:cs="Times New Roman"/>
          <w:color w:val="0563B1"/>
          <w:sz w:val="26"/>
          <w:szCs w:val="26"/>
        </w:rPr>
        <w:t>Качество</w:t>
      </w:r>
      <w:proofErr w:type="gramStart"/>
      <w:r w:rsidRPr="00020E9D">
        <w:rPr>
          <w:rFonts w:cs="Times New Roman"/>
          <w:color w:val="0563B1"/>
          <w:sz w:val="26"/>
          <w:szCs w:val="26"/>
        </w:rPr>
        <w:t>.б</w:t>
      </w:r>
      <w:proofErr w:type="gramEnd"/>
      <w:r w:rsidRPr="00020E9D">
        <w:rPr>
          <w:rFonts w:cs="Times New Roman"/>
          <w:color w:val="0563B1"/>
          <w:sz w:val="26"/>
          <w:szCs w:val="26"/>
        </w:rPr>
        <w:t>ел</w:t>
      </w:r>
      <w:proofErr w:type="spellEnd"/>
      <w:r w:rsidRPr="00020E9D">
        <w:rPr>
          <w:rFonts w:cs="Times New Roman"/>
          <w:color w:val="282828"/>
          <w:sz w:val="26"/>
          <w:szCs w:val="26"/>
        </w:rPr>
        <w:fldChar w:fldCharType="end"/>
      </w:r>
      <w:r w:rsidRPr="00020E9D">
        <w:rPr>
          <w:rFonts w:cs="Times New Roman"/>
          <w:color w:val="282828"/>
          <w:sz w:val="26"/>
          <w:szCs w:val="26"/>
        </w:rPr>
        <w:t>», </w:t>
      </w:r>
      <w:hyperlink r:id="rId11" w:history="1">
        <w:r w:rsidRPr="00020E9D">
          <w:rPr>
            <w:rFonts w:cs="Times New Roman"/>
            <w:color w:val="0563B1"/>
            <w:sz w:val="26"/>
            <w:szCs w:val="26"/>
          </w:rPr>
          <w:t>export.by</w:t>
        </w:r>
      </w:hyperlink>
      <w:r w:rsidRPr="00020E9D">
        <w:rPr>
          <w:rFonts w:cs="Times New Roman"/>
          <w:color w:val="282828"/>
          <w:sz w:val="26"/>
          <w:szCs w:val="26"/>
        </w:rPr>
        <w:t> и другими.</w:t>
      </w:r>
    </w:p>
    <w:p w:rsidR="00FF6FFF" w:rsidRPr="00020E9D" w:rsidRDefault="00FF6FFF" w:rsidP="00020E9D">
      <w:pPr>
        <w:ind w:firstLine="567"/>
        <w:jc w:val="both"/>
        <w:rPr>
          <w:rFonts w:cs="Times New Roman"/>
          <w:sz w:val="26"/>
          <w:szCs w:val="26"/>
        </w:rPr>
      </w:pPr>
    </w:p>
    <w:sectPr w:rsidR="00FF6FFF" w:rsidRPr="00020E9D" w:rsidSect="00A86673">
      <w:footerReference w:type="default" r:id="rId12"/>
      <w:type w:val="continuous"/>
      <w:pgSz w:w="11909" w:h="16834"/>
      <w:pgMar w:top="851" w:right="569" w:bottom="851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2E" w:rsidRDefault="00D9712E">
      <w:r>
        <w:separator/>
      </w:r>
    </w:p>
  </w:endnote>
  <w:endnote w:type="continuationSeparator" w:id="0">
    <w:p w:rsidR="00D9712E" w:rsidRDefault="00D9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2E" w:rsidRDefault="00D9712E">
      <w:r>
        <w:separator/>
      </w:r>
    </w:p>
  </w:footnote>
  <w:footnote w:type="continuationSeparator" w:id="0">
    <w:p w:rsidR="00D9712E" w:rsidRDefault="00D9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ABA"/>
    <w:multiLevelType w:val="multilevel"/>
    <w:tmpl w:val="454C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D602A"/>
    <w:multiLevelType w:val="multilevel"/>
    <w:tmpl w:val="0DB4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A7664F"/>
    <w:multiLevelType w:val="multilevel"/>
    <w:tmpl w:val="3E5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54F65"/>
    <w:multiLevelType w:val="multilevel"/>
    <w:tmpl w:val="36C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2E"/>
    <w:rsid w:val="0001366F"/>
    <w:rsid w:val="00016703"/>
    <w:rsid w:val="00016873"/>
    <w:rsid w:val="00020E9D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86673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B3DD9"/>
    <w:rsid w:val="00CC0DA5"/>
    <w:rsid w:val="00CE1E0E"/>
    <w:rsid w:val="00CE7EDD"/>
    <w:rsid w:val="00D822DE"/>
    <w:rsid w:val="00D9712E"/>
    <w:rsid w:val="00D97E3D"/>
    <w:rsid w:val="00DB094C"/>
    <w:rsid w:val="00DB35E1"/>
    <w:rsid w:val="00DF6D9D"/>
    <w:rsid w:val="00E045AC"/>
    <w:rsid w:val="00E65246"/>
    <w:rsid w:val="00E67E12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paragraph" w:styleId="1">
    <w:name w:val="heading 1"/>
    <w:basedOn w:val="a"/>
    <w:link w:val="10"/>
    <w:uiPriority w:val="9"/>
    <w:qFormat/>
    <w:rsid w:val="00D9712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D9712E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9712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rsid w:val="00A86673"/>
    <w:rPr>
      <w:rFonts w:ascii="Arial" w:hAnsi="Arial"/>
      <w:sz w:val="16"/>
      <w:szCs w:val="16"/>
    </w:rPr>
  </w:style>
  <w:style w:type="character" w:customStyle="1" w:styleId="a7">
    <w:name w:val="Текст выноски Знак"/>
    <w:basedOn w:val="a0"/>
    <w:link w:val="a6"/>
    <w:rsid w:val="00A86673"/>
    <w:rPr>
      <w:rFonts w:ascii="Arial" w:hAnsi="Arial" w:cs="Arial"/>
      <w:sz w:val="16"/>
      <w:szCs w:val="16"/>
    </w:rPr>
  </w:style>
  <w:style w:type="character" w:styleId="a8">
    <w:name w:val="Hyperlink"/>
    <w:basedOn w:val="a0"/>
    <w:uiPriority w:val="99"/>
    <w:unhideWhenUsed/>
    <w:rsid w:val="00020E9D"/>
    <w:rPr>
      <w:color w:val="0000FF"/>
      <w:u w:val="single"/>
    </w:rPr>
  </w:style>
  <w:style w:type="paragraph" w:customStyle="1" w:styleId="justifyfull">
    <w:name w:val="justifyfull"/>
    <w:basedOn w:val="a"/>
    <w:rsid w:val="00020E9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9">
    <w:name w:val="Strong"/>
    <w:basedOn w:val="a0"/>
    <w:uiPriority w:val="22"/>
    <w:qFormat/>
    <w:rsid w:val="00020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paragraph" w:styleId="1">
    <w:name w:val="heading 1"/>
    <w:basedOn w:val="a"/>
    <w:link w:val="10"/>
    <w:uiPriority w:val="9"/>
    <w:qFormat/>
    <w:rsid w:val="00D9712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"/>
    <w:rsid w:val="00D9712E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9712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rsid w:val="00A86673"/>
    <w:rPr>
      <w:rFonts w:ascii="Arial" w:hAnsi="Arial"/>
      <w:sz w:val="16"/>
      <w:szCs w:val="16"/>
    </w:rPr>
  </w:style>
  <w:style w:type="character" w:customStyle="1" w:styleId="a7">
    <w:name w:val="Текст выноски Знак"/>
    <w:basedOn w:val="a0"/>
    <w:link w:val="a6"/>
    <w:rsid w:val="00A86673"/>
    <w:rPr>
      <w:rFonts w:ascii="Arial" w:hAnsi="Arial" w:cs="Arial"/>
      <w:sz w:val="16"/>
      <w:szCs w:val="16"/>
    </w:rPr>
  </w:style>
  <w:style w:type="character" w:styleId="a8">
    <w:name w:val="Hyperlink"/>
    <w:basedOn w:val="a0"/>
    <w:uiPriority w:val="99"/>
    <w:unhideWhenUsed/>
    <w:rsid w:val="00020E9D"/>
    <w:rPr>
      <w:color w:val="0000FF"/>
      <w:u w:val="single"/>
    </w:rPr>
  </w:style>
  <w:style w:type="paragraph" w:customStyle="1" w:styleId="justifyfull">
    <w:name w:val="justifyfull"/>
    <w:basedOn w:val="a"/>
    <w:rsid w:val="00020E9D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9">
    <w:name w:val="Strong"/>
    <w:basedOn w:val="a0"/>
    <w:uiPriority w:val="22"/>
    <w:qFormat/>
    <w:rsid w:val="0002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3" w:color="E8E9EB"/>
            <w:right w:val="none" w:sz="0" w:space="0" w:color="auto"/>
          </w:divBdr>
        </w:div>
        <w:div w:id="13316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C22200713&amp;p1=1&amp;p5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xport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t.gov.by/news/novost/razyasnenie-o-primenenii-postanovleniya-soveta-ministrov-respubliki-belarus-ot-19-oktyabrya-2022-g-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t.gov.by/news/novost/mart-razrabotana-onlayn-anketa-po-voprosam-primeneniya-postanovleniya-soveta-ministrov-7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Мартынова</dc:creator>
  <cp:lastModifiedBy>Анжела Л. Петрова</cp:lastModifiedBy>
  <cp:revision>3</cp:revision>
  <cp:lastPrinted>2022-10-24T10:53:00Z</cp:lastPrinted>
  <dcterms:created xsi:type="dcterms:W3CDTF">2022-10-26T08:06:00Z</dcterms:created>
  <dcterms:modified xsi:type="dcterms:W3CDTF">2022-10-26T08:07:00Z</dcterms:modified>
</cp:coreProperties>
</file>