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AB52" w14:textId="60B7B3E7" w:rsidR="00D92A77" w:rsidRDefault="00D92A77" w:rsidP="002B4B80">
      <w:pPr>
        <w:spacing w:line="300" w:lineRule="exact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Отдел идеологической работы и по делам молодежи</w:t>
      </w:r>
    </w:p>
    <w:p w14:paraId="525C1F90" w14:textId="77777777" w:rsidR="00D92A77" w:rsidRDefault="00D92A77" w:rsidP="00D92A77">
      <w:pPr>
        <w:spacing w:line="300" w:lineRule="exact"/>
        <w:ind w:left="-113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</w:t>
      </w:r>
      <w:proofErr w:type="spellStart"/>
      <w:r>
        <w:rPr>
          <w:rFonts w:cs="Times New Roman"/>
          <w:sz w:val="32"/>
          <w:szCs w:val="32"/>
        </w:rPr>
        <w:t>Сенненского</w:t>
      </w:r>
      <w:proofErr w:type="spellEnd"/>
      <w:r>
        <w:rPr>
          <w:rFonts w:cs="Times New Roman"/>
          <w:sz w:val="32"/>
          <w:szCs w:val="32"/>
        </w:rPr>
        <w:t xml:space="preserve"> районного исполнительного комитета</w:t>
      </w:r>
    </w:p>
    <w:p w14:paraId="3333A8B0" w14:textId="77777777" w:rsidR="00D92A77" w:rsidRDefault="00D92A77" w:rsidP="00D92A77">
      <w:pPr>
        <w:spacing w:line="280" w:lineRule="exact"/>
        <w:ind w:left="-1134"/>
        <w:jc w:val="center"/>
        <w:rPr>
          <w:rFonts w:cs="Times New Roman"/>
          <w:sz w:val="32"/>
          <w:szCs w:val="32"/>
        </w:rPr>
      </w:pPr>
    </w:p>
    <w:p w14:paraId="5FDB2574" w14:textId="77777777" w:rsidR="00D92A77" w:rsidRDefault="00D92A77" w:rsidP="00D92A77">
      <w:pPr>
        <w:spacing w:line="280" w:lineRule="exact"/>
        <w:rPr>
          <w:rFonts w:cs="Times New Roman"/>
          <w:sz w:val="32"/>
          <w:szCs w:val="32"/>
        </w:rPr>
      </w:pPr>
    </w:p>
    <w:p w14:paraId="7538B1D9" w14:textId="77777777" w:rsidR="00D92A77" w:rsidRDefault="00D92A77" w:rsidP="00D92A77">
      <w:pPr>
        <w:spacing w:line="280" w:lineRule="exact"/>
        <w:ind w:left="-1134"/>
        <w:jc w:val="center"/>
        <w:rPr>
          <w:rFonts w:cs="Times New Roman"/>
          <w:sz w:val="32"/>
          <w:szCs w:val="32"/>
        </w:rPr>
      </w:pPr>
    </w:p>
    <w:p w14:paraId="1B0BC274" w14:textId="153B3FEA" w:rsidR="00D92A77" w:rsidRDefault="002B4B80" w:rsidP="00D92A77">
      <w:pPr>
        <w:spacing w:line="280" w:lineRule="exact"/>
        <w:ind w:left="-1134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</w:t>
      </w:r>
      <w:r w:rsidR="00D92A77">
        <w:rPr>
          <w:rFonts w:cs="Times New Roman"/>
          <w:i/>
          <w:sz w:val="32"/>
          <w:szCs w:val="32"/>
        </w:rPr>
        <w:t>МАТЕРИАЛЫ</w:t>
      </w:r>
    </w:p>
    <w:p w14:paraId="2D2F8FEB" w14:textId="2EEBCE77" w:rsidR="00D92A77" w:rsidRDefault="002B4B80" w:rsidP="00D92A77">
      <w:pPr>
        <w:spacing w:line="280" w:lineRule="exact"/>
        <w:ind w:left="-1134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</w:t>
      </w:r>
      <w:r w:rsidR="00D92A77">
        <w:rPr>
          <w:rFonts w:cs="Times New Roman"/>
          <w:i/>
          <w:sz w:val="32"/>
          <w:szCs w:val="32"/>
        </w:rPr>
        <w:t>для членов информационно-пропагандистских групп</w:t>
      </w:r>
    </w:p>
    <w:p w14:paraId="14B0F18E" w14:textId="77777777" w:rsidR="00D92A77" w:rsidRDefault="00D92A77" w:rsidP="00D92A77">
      <w:pPr>
        <w:ind w:left="-1134"/>
        <w:jc w:val="center"/>
        <w:rPr>
          <w:rFonts w:ascii="Calibri" w:hAnsi="Calibri" w:cs="Calibri"/>
          <w:b/>
          <w:i/>
          <w:sz w:val="22"/>
          <w:szCs w:val="28"/>
        </w:rPr>
      </w:pPr>
    </w:p>
    <w:p w14:paraId="632F9D7D" w14:textId="77777777" w:rsidR="00D92A77" w:rsidRDefault="00D92A77" w:rsidP="00D92A77">
      <w:pPr>
        <w:ind w:left="-1134"/>
        <w:jc w:val="center"/>
        <w:rPr>
          <w:b/>
          <w:i/>
          <w:szCs w:val="28"/>
        </w:rPr>
      </w:pPr>
    </w:p>
    <w:p w14:paraId="34B9BA80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38B25BF4" w14:textId="77777777" w:rsidR="00D92A77" w:rsidRPr="00D92A77" w:rsidRDefault="00D92A77" w:rsidP="00D92A77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  <w:r w:rsidRPr="00D92A77">
        <w:rPr>
          <w:b/>
          <w:bCs/>
          <w:sz w:val="36"/>
          <w:szCs w:val="36"/>
        </w:rPr>
        <w:t xml:space="preserve">ПОЛИТИЧЕСКАЯ БЕЗОПАСНОСТЬ </w:t>
      </w:r>
    </w:p>
    <w:p w14:paraId="2D7E84DF" w14:textId="77777777" w:rsidR="00D92A77" w:rsidRPr="00D92A77" w:rsidRDefault="00D92A77" w:rsidP="00D92A77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  <w:r w:rsidRPr="00D92A77">
        <w:rPr>
          <w:b/>
          <w:bCs/>
          <w:sz w:val="36"/>
          <w:szCs w:val="36"/>
        </w:rPr>
        <w:t>КАК ОСНОВА ОБЩЕСТВЕННО-ПОЛИТИЧЕСКОЙ СТАБИЛЬНОСТИ СУВЕРЕННОГО ГОСУДАРСТВА.</w:t>
      </w:r>
    </w:p>
    <w:p w14:paraId="69BC21B2" w14:textId="77777777" w:rsidR="00D92A77" w:rsidRPr="00D92A77" w:rsidRDefault="00D92A77" w:rsidP="00D92A77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  <w:r w:rsidRPr="00D92A77">
        <w:rPr>
          <w:b/>
          <w:bCs/>
          <w:sz w:val="36"/>
          <w:szCs w:val="36"/>
        </w:rPr>
        <w:t>ИЗБИРАТЕЛЬНАЯ КАМПАНИЯ 2024 ГОДА</w:t>
      </w:r>
    </w:p>
    <w:p w14:paraId="71659CD3" w14:textId="77777777" w:rsidR="00D92A77" w:rsidRPr="00D92A77" w:rsidRDefault="00D92A77" w:rsidP="00D92A77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  <w:r w:rsidRPr="00D92A77">
        <w:rPr>
          <w:b/>
          <w:bCs/>
          <w:sz w:val="36"/>
          <w:szCs w:val="36"/>
        </w:rPr>
        <w:t>В НОВЫХ ПРАВОВЫХ УСЛОВИЯХ</w:t>
      </w:r>
    </w:p>
    <w:p w14:paraId="54347E2A" w14:textId="77777777" w:rsidR="00D92A77" w:rsidRDefault="00D92A77" w:rsidP="00D92A77">
      <w:pPr>
        <w:widowControl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14:paraId="7CD8FDE7" w14:textId="77777777" w:rsidR="00D92A77" w:rsidRDefault="00D92A77" w:rsidP="00D92A77">
      <w:pPr>
        <w:widowControl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14:paraId="6B85DDDA" w14:textId="77777777" w:rsidR="00D92A77" w:rsidRDefault="00D92A77" w:rsidP="00D92A77">
      <w:pPr>
        <w:jc w:val="center"/>
        <w:rPr>
          <w:rFonts w:eastAsia="Calibri" w:cs="Times New Roman"/>
          <w:b/>
          <w:sz w:val="40"/>
          <w:szCs w:val="40"/>
        </w:rPr>
      </w:pPr>
    </w:p>
    <w:p w14:paraId="099CE09F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6261E0F1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5FFF6BB2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64D365F3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1CFB16C3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64AF3ADE" w14:textId="5B9CA752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317242C5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07785D88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2FA8D557" w14:textId="77777777" w:rsidR="00D92A77" w:rsidRDefault="00D92A77" w:rsidP="00D92A77">
      <w:pPr>
        <w:jc w:val="both"/>
        <w:rPr>
          <w:rFonts w:cs="Times New Roman"/>
          <w:sz w:val="30"/>
          <w:szCs w:val="30"/>
        </w:rPr>
      </w:pPr>
    </w:p>
    <w:p w14:paraId="7E69D28F" w14:textId="373DC225" w:rsidR="000B0EE4" w:rsidRDefault="000B0EE4" w:rsidP="00D92A77">
      <w:pPr>
        <w:jc w:val="both"/>
        <w:rPr>
          <w:rFonts w:cs="Times New Roman"/>
          <w:sz w:val="30"/>
          <w:szCs w:val="30"/>
        </w:rPr>
      </w:pPr>
    </w:p>
    <w:p w14:paraId="334A1EB6" w14:textId="5F752F8F" w:rsidR="00124D2A" w:rsidRPr="00D92A77" w:rsidRDefault="00D92A77" w:rsidP="00D92A77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декаб</w:t>
      </w:r>
      <w:r>
        <w:rPr>
          <w:rFonts w:cs="Times New Roman"/>
          <w:sz w:val="30"/>
          <w:szCs w:val="30"/>
        </w:rPr>
        <w:t>рь -2023</w:t>
      </w:r>
    </w:p>
    <w:p w14:paraId="3D890189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lastRenderedPageBreak/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4C0CC14E" w14:textId="13BCD6E5"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2060B3B1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8DA456C" w14:textId="40FE0E13" w:rsidR="00E65144" w:rsidRDefault="00736705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i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i/>
          <w:sz w:val="30"/>
          <w:szCs w:val="30"/>
        </w:rPr>
        <w:t>«</w:t>
      </w:r>
      <w:r w:rsidR="00E65144"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="00E65144"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="00E65144"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="00E65144"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="00E65144" w:rsidRPr="00442448">
        <w:rPr>
          <w:rFonts w:cs="Times New Roman"/>
          <w:bCs/>
          <w:i/>
          <w:sz w:val="30"/>
          <w:szCs w:val="30"/>
        </w:rPr>
        <w:t>»</w:t>
      </w:r>
      <w:r w:rsidR="00E65144">
        <w:rPr>
          <w:rFonts w:cs="Times New Roman"/>
          <w:bCs/>
          <w:sz w:val="30"/>
          <w:szCs w:val="30"/>
        </w:rPr>
        <w:t xml:space="preserve"> – отметил </w:t>
      </w:r>
      <w:proofErr w:type="spellStart"/>
      <w:r w:rsidR="00E65144">
        <w:rPr>
          <w:rFonts w:cs="Times New Roman"/>
          <w:b/>
          <w:bCs/>
          <w:sz w:val="30"/>
          <w:szCs w:val="30"/>
        </w:rPr>
        <w:t>А.Г.</w:t>
      </w:r>
      <w:r w:rsidR="00E65144" w:rsidRPr="00423991">
        <w:rPr>
          <w:rFonts w:cs="Times New Roman"/>
          <w:b/>
          <w:bCs/>
          <w:sz w:val="30"/>
          <w:szCs w:val="30"/>
        </w:rPr>
        <w:t>Лукашенко</w:t>
      </w:r>
      <w:proofErr w:type="spellEnd"/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28 июля</w:t>
      </w:r>
      <w:r w:rsidR="00E65144">
        <w:rPr>
          <w:rFonts w:cs="Times New Roman"/>
          <w:bCs/>
          <w:sz w:val="30"/>
          <w:szCs w:val="30"/>
        </w:rPr>
        <w:t xml:space="preserve"> 2023 г.</w:t>
      </w:r>
      <w:r w:rsidR="00E65144"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 w:rsidR="00E65144">
        <w:rPr>
          <w:rFonts w:cs="Times New Roman"/>
          <w:bCs/>
          <w:sz w:val="30"/>
          <w:szCs w:val="30"/>
        </w:rPr>
        <w:t xml:space="preserve"> Национального собрания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r w:rsidR="00E65144">
        <w:rPr>
          <w:rFonts w:cs="Times New Roman"/>
          <w:bCs/>
          <w:sz w:val="30"/>
          <w:szCs w:val="30"/>
        </w:rPr>
        <w:t>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="00E65144" w:rsidRPr="00442448">
        <w:rPr>
          <w:rFonts w:cs="Times New Roman"/>
          <w:bCs/>
          <w:sz w:val="30"/>
          <w:szCs w:val="30"/>
        </w:rPr>
        <w:t>Кочановой</w:t>
      </w:r>
      <w:proofErr w:type="spellEnd"/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Н</w:t>
      </w:r>
      <w:r w:rsidR="00E65144">
        <w:rPr>
          <w:rFonts w:cs="Times New Roman"/>
          <w:bCs/>
          <w:sz w:val="30"/>
          <w:szCs w:val="30"/>
        </w:rPr>
        <w:t xml:space="preserve">.И. </w:t>
      </w:r>
      <w:r w:rsidR="00E65144"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 w:rsidR="00E65144">
        <w:rPr>
          <w:rFonts w:cs="Times New Roman"/>
          <w:bCs/>
          <w:sz w:val="30"/>
          <w:szCs w:val="30"/>
        </w:rPr>
        <w:t xml:space="preserve"> 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Сергеенко</w:t>
      </w:r>
      <w:r w:rsidR="00E65144">
        <w:rPr>
          <w:rFonts w:cs="Times New Roman"/>
          <w:bCs/>
          <w:sz w:val="30"/>
          <w:szCs w:val="30"/>
        </w:rPr>
        <w:t xml:space="preserve"> И.П.</w:t>
      </w:r>
    </w:p>
    <w:p w14:paraId="28A61BF3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78AF958" w14:textId="2E2A0A3A" w:rsidR="009F2195" w:rsidRPr="003C7E8D" w:rsidRDefault="0073670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</w:t>
      </w:r>
      <w:r w:rsidR="009F2195"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14:paraId="798C640E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19E76B0B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5E024582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18317521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3C6731DB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</w:t>
      </w:r>
      <w:r w:rsidRPr="008355B9">
        <w:rPr>
          <w:i/>
          <w:szCs w:val="28"/>
        </w:rPr>
        <w:lastRenderedPageBreak/>
        <w:t>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5DF0613E" w14:textId="23295CCC"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69CF7AB0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57A292BE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12E476F1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61B3AEF3" w14:textId="77AE9C33"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454B9158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7F13BA7A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32E5CE89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35312D1F" w14:textId="0AF5966F"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3A9CBF73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2A6979AB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2B6D5543" w14:textId="0B918A03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lastRenderedPageBreak/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</w:t>
      </w:r>
    </w:p>
    <w:p w14:paraId="1C6CB166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10DE6987" w14:textId="280C0CF7"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14:paraId="3F8320DB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14:paraId="24904FF8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4F58B1D6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14:paraId="18AB494B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7E2780F5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4C8B387B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</w:t>
      </w:r>
      <w:r w:rsidRPr="005162A1">
        <w:rPr>
          <w:rFonts w:cs="Times New Roman"/>
          <w:bCs/>
          <w:i/>
          <w:szCs w:val="28"/>
        </w:rPr>
        <w:lastRenderedPageBreak/>
        <w:t xml:space="preserve">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14:paraId="14029BBB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6BAC9257" w14:textId="77777777" w:rsidR="00E11AC1" w:rsidRDefault="00E11AC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4CC70B15" w14:textId="1B21685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0B01013E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40996E7B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59303F0C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2AEF8B73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42C57752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2C7F55A3" w14:textId="2F68167E"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</w:t>
      </w:r>
      <w:r w:rsidR="00C33AD2">
        <w:rPr>
          <w:rFonts w:cs="Times New Roman"/>
          <w:bCs/>
          <w:i/>
          <w:szCs w:val="28"/>
        </w:rPr>
        <w:tab/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2C0527AE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5CD01367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3585446A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549E62DC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5B436F48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lastRenderedPageBreak/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4511036F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38BD90D7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14:paraId="5B6A67F0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14:paraId="1C22483E" w14:textId="206F6260"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6A3A3522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5615458C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0919F0CB" w14:textId="0F7B776E" w:rsidR="00FE5DB9" w:rsidRPr="00FE5DB9" w:rsidRDefault="00C33AD2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FE5DB9"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4337428F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3A01453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 xml:space="preserve">индекса политической </w:t>
      </w:r>
      <w:r w:rsidRPr="00FE5DB9">
        <w:rPr>
          <w:b/>
          <w:bCs/>
          <w:sz w:val="30"/>
          <w:szCs w:val="30"/>
        </w:rPr>
        <w:lastRenderedPageBreak/>
        <w:t>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5DC9EE1B" w14:textId="28C5BCD4"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14:paraId="26C05D73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3CCDBDE0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3BF9FD96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00823AB7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1F131C14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3B28FB71" w14:textId="5BBCC762" w:rsidR="00D33342" w:rsidRPr="004D1E31" w:rsidRDefault="00B413C9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 </w:t>
      </w:r>
      <w:r w:rsidR="00D33342"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="00D33342"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="00D33342" w:rsidRPr="004D1E31">
        <w:rPr>
          <w:bCs/>
          <w:spacing w:val="-4"/>
          <w:sz w:val="30"/>
          <w:szCs w:val="30"/>
        </w:rPr>
        <w:t>.</w:t>
      </w:r>
    </w:p>
    <w:p w14:paraId="2E42EAAB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66224B2D" w14:textId="77777777" w:rsidR="00E11AC1" w:rsidRDefault="00E11AC1" w:rsidP="00D33342">
      <w:pPr>
        <w:spacing w:before="120" w:after="0" w:line="300" w:lineRule="exact"/>
        <w:jc w:val="both"/>
        <w:rPr>
          <w:b/>
          <w:bCs/>
          <w:i/>
        </w:rPr>
      </w:pPr>
    </w:p>
    <w:p w14:paraId="58315E5D" w14:textId="20332BC1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78FDF11F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</w:t>
      </w:r>
      <w:r w:rsidRPr="008640AD">
        <w:rPr>
          <w:b/>
          <w:bCs/>
          <w:i/>
          <w:iCs/>
        </w:rPr>
        <w:lastRenderedPageBreak/>
        <w:t>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41181C36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54FF1776" w14:textId="1913FB19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5933ED85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</w:t>
      </w:r>
      <w:proofErr w:type="spellStart"/>
      <w:r w:rsidRPr="00FE5DB9">
        <w:rPr>
          <w:bCs/>
          <w:sz w:val="30"/>
          <w:szCs w:val="30"/>
        </w:rPr>
        <w:t>дебюрократизации</w:t>
      </w:r>
      <w:proofErr w:type="spellEnd"/>
      <w:r w:rsidRPr="00FE5DB9">
        <w:rPr>
          <w:bCs/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382BF77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>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09C226AB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785220B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01BD3DCF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lastRenderedPageBreak/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53F8EC77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0F9468E7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4B891DF7" w14:textId="20E987E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14:paraId="426DEC93" w14:textId="51AE2D08" w:rsidR="00C91FA8" w:rsidRPr="00281AF5" w:rsidRDefault="00FE5DB9" w:rsidP="00281AF5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0E5B4982" w14:textId="1C31ED6B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5F1FBEF1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 xml:space="preserve"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</w:t>
      </w:r>
      <w:r w:rsidRPr="008640AD">
        <w:rPr>
          <w:bCs/>
          <w:i/>
        </w:rPr>
        <w:lastRenderedPageBreak/>
        <w:t>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5FECFEA9" w14:textId="25A2FC28"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21F294CE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72435C87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1D41A201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79F0B6AF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229D4BDD" w14:textId="7F22814D"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07743388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 xml:space="preserve">Президент </w:t>
      </w:r>
      <w:proofErr w:type="spellStart"/>
      <w:r w:rsidR="00142A32" w:rsidRPr="00142A32">
        <w:rPr>
          <w:b/>
          <w:bCs/>
          <w:sz w:val="30"/>
          <w:szCs w:val="30"/>
        </w:rPr>
        <w:t>А.Г.Лукашенко</w:t>
      </w:r>
      <w:proofErr w:type="spellEnd"/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0FE99E82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663B6AD0" w14:textId="77777777" w:rsidR="00EA4A0B" w:rsidRDefault="00EA4A0B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10729A40" w14:textId="497D47E1"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lastRenderedPageBreak/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1794457F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2E3ACE1D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2101F21F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62B262F4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708B26B8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25595941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6FC1E88E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7D037689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 xml:space="preserve">к Востоку от </w:t>
      </w:r>
      <w:r w:rsidRPr="00154D74">
        <w:rPr>
          <w:rFonts w:cs="Times New Roman"/>
          <w:bCs/>
          <w:i/>
          <w:szCs w:val="28"/>
        </w:rPr>
        <w:lastRenderedPageBreak/>
        <w:t>Вены» (в 98,7% случаев мониторинга) и только дважды направлялись в западную часть региона ОБСЕ (в США в 2004 и 2016 годах).</w:t>
      </w:r>
    </w:p>
    <w:p w14:paraId="08E755CB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2DD2EF24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</w:t>
      </w:r>
      <w:proofErr w:type="gramStart"/>
      <w:r w:rsidRPr="001E1883">
        <w:rPr>
          <w:rFonts w:cs="Times New Roman"/>
          <w:bCs/>
          <w:sz w:val="30"/>
          <w:szCs w:val="30"/>
        </w:rPr>
        <w:t>об итогах</w:t>
      </w:r>
      <w:proofErr w:type="gramEnd"/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102CF9DE" w14:textId="6ECFA2A3"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287A7F8F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7E7C567B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030E9C1B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62876F2E" w14:textId="16FCC95D" w:rsidR="00144383" w:rsidRPr="00144383" w:rsidRDefault="00111615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 </w:t>
      </w:r>
      <w:r w:rsidR="002A7A07"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00C11A79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0B214783" w14:textId="57CFE2DB" w:rsidR="002A7A07" w:rsidRDefault="00744AE0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 xml:space="preserve">В </w:t>
      </w:r>
      <w:r w:rsidR="002A7A07"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="002A7A07" w:rsidRPr="00142A32">
        <w:rPr>
          <w:rFonts w:cs="Times New Roman"/>
          <w:bCs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>п</w:t>
      </w:r>
      <w:r w:rsidR="002A7A07" w:rsidRPr="00267275">
        <w:rPr>
          <w:rFonts w:cs="Times New Roman"/>
          <w:bCs/>
          <w:sz w:val="30"/>
          <w:szCs w:val="30"/>
        </w:rPr>
        <w:t xml:space="preserve">ланируется 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первые закрепить понятие</w:t>
      </w:r>
      <w:r w:rsidR="002A7A07"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16C11EDF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09CA0B6C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</w:t>
      </w:r>
      <w:proofErr w:type="gramStart"/>
      <w:r w:rsidRPr="009369B0">
        <w:rPr>
          <w:rFonts w:cs="Times New Roman"/>
          <w:bCs/>
          <w:i/>
          <w:szCs w:val="28"/>
        </w:rPr>
        <w:t>независимо организовывать</w:t>
      </w:r>
      <w:proofErr w:type="gramEnd"/>
      <w:r w:rsidRPr="009369B0">
        <w:rPr>
          <w:rFonts w:cs="Times New Roman"/>
          <w:bCs/>
          <w:i/>
          <w:szCs w:val="28"/>
        </w:rPr>
        <w:t xml:space="preserve"> и проводить выборы, референдумы в целях обеспечения </w:t>
      </w:r>
      <w:r w:rsidRPr="009369B0">
        <w:rPr>
          <w:rFonts w:cs="Times New Roman"/>
          <w:bCs/>
          <w:i/>
          <w:szCs w:val="28"/>
        </w:rPr>
        <w:lastRenderedPageBreak/>
        <w:t>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4D769EE7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ABAF4CC" w14:textId="74FEA024"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514E156B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3B988582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6546ABAF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63354225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0D378306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25AA4124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0F91D24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683BC8B9" w14:textId="50EC81F0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58905B7D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12B50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29B7DFF4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0E176AA3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3629E45" w14:textId="53CFD168" w:rsidR="00385B0F" w:rsidRPr="003F591F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695E999A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6D378F4C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07813519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02DEB583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34E60342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717DC4F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696BB1AA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9BD30FE" w14:textId="77777777" w:rsidR="000E4E0A" w:rsidRDefault="000E4E0A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638BC768" w14:textId="3F0D3BD5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046DDC44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05A7DD5F" w14:textId="0F8EB0B1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13E42FA0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3403C3C0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0F796030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3E6BD73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4A2B772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0085D7ED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29B955A6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6177DC6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0E40EA50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6B69C4E5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53B36A1E" w14:textId="3F993CD3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4FAF484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4A8329D8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4E91EA9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1E49EF0C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156454F0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451B29CB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4C94CF75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3E797BF" w14:textId="0CFEA8D0" w:rsidR="007A75E3" w:rsidRPr="003C7E8D" w:rsidRDefault="007A75E3" w:rsidP="00724843">
      <w:pPr>
        <w:spacing w:after="0" w:line="240" w:lineRule="auto"/>
        <w:ind w:firstLine="709"/>
        <w:jc w:val="center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14:paraId="66B51E80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4D600378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68968F59" w14:textId="4722BA39" w:rsidR="00677670" w:rsidRDefault="00677670" w:rsidP="00C34BA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lastRenderedPageBreak/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7A4DBB01" w14:textId="16C17679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130C1784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51EEEA0F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559629C0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7CCC7E97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4C2170DF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39F40B54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62637A11" w14:textId="51F56CC4"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1D4ED53D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745750AF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54BF4D5F" w14:textId="3DAD0667" w:rsidR="00241D9D" w:rsidRPr="009171CE" w:rsidRDefault="009171CE" w:rsidP="004C4E31">
      <w:pPr>
        <w:spacing w:after="0" w:line="240" w:lineRule="auto"/>
        <w:ind w:firstLine="709"/>
        <w:jc w:val="both"/>
        <w:rPr>
          <w:rFonts w:cs="Times New Roman"/>
          <w:bCs/>
          <w:i/>
          <w:iCs/>
          <w:spacing w:val="-4"/>
          <w:sz w:val="30"/>
          <w:szCs w:val="30"/>
        </w:rPr>
      </w:pPr>
      <w:r w:rsidRPr="009171CE">
        <w:rPr>
          <w:i/>
          <w:iCs/>
        </w:rPr>
        <w:t>https://www.rec.gov.by/ru/election-schedule-ru/view/elections-2024-edg</w:t>
      </w:r>
      <w:r w:rsidR="004C4E31" w:rsidRPr="009171CE">
        <w:rPr>
          <w:rFonts w:cs="Times New Roman"/>
          <w:bCs/>
          <w:i/>
          <w:iCs/>
          <w:spacing w:val="-4"/>
          <w:sz w:val="30"/>
          <w:szCs w:val="30"/>
        </w:rPr>
        <w:t>;</w:t>
      </w:r>
    </w:p>
    <w:p w14:paraId="4A0822D5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14:paraId="352D1FBE" w14:textId="129E5725"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 xml:space="preserve">6 марта 2024 г. ЦИК должна определить дату выборов делегатов Всебелорусского народного собрания от местных </w:t>
      </w:r>
      <w:r w:rsidRPr="00BE72F1">
        <w:rPr>
          <w:b/>
          <w:sz w:val="30"/>
          <w:szCs w:val="30"/>
        </w:rPr>
        <w:lastRenderedPageBreak/>
        <w:t>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12B0C91E" w14:textId="260DC295" w:rsidR="00C12063" w:rsidRPr="00AB6354" w:rsidRDefault="007A75E3" w:rsidP="00AB6354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14:paraId="44A67B3D" w14:textId="77777777" w:rsidR="00575ACC" w:rsidRDefault="00575ACC" w:rsidP="001B473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23203700" w14:textId="4907A089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bookmarkStart w:id="1" w:name="_GoBack"/>
      <w:bookmarkEnd w:id="1"/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5EAD032" w14:textId="4515FA03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3C41D5CC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44B3BF7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sectPr w:rsidR="004335CF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52F9" w14:textId="77777777" w:rsidR="002A7932" w:rsidRDefault="002A7932" w:rsidP="008D6350">
      <w:pPr>
        <w:spacing w:after="0" w:line="240" w:lineRule="auto"/>
      </w:pPr>
      <w:r>
        <w:separator/>
      </w:r>
    </w:p>
  </w:endnote>
  <w:endnote w:type="continuationSeparator" w:id="0">
    <w:p w14:paraId="6B02DE74" w14:textId="77777777" w:rsidR="002A7932" w:rsidRDefault="002A7932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67E4" w14:textId="77777777" w:rsidR="002A7932" w:rsidRDefault="002A7932" w:rsidP="008D6350">
      <w:pPr>
        <w:spacing w:after="0" w:line="240" w:lineRule="auto"/>
      </w:pPr>
      <w:r>
        <w:separator/>
      </w:r>
    </w:p>
  </w:footnote>
  <w:footnote w:type="continuationSeparator" w:id="0">
    <w:p w14:paraId="415039EE" w14:textId="77777777" w:rsidR="002A7932" w:rsidRDefault="002A7932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14:paraId="100A1E5E" w14:textId="5491D64C" w:rsidR="00151E52" w:rsidRDefault="00151E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ACC">
          <w:rPr>
            <w:noProof/>
          </w:rPr>
          <w:t>18</w:t>
        </w:r>
        <w:r>
          <w:fldChar w:fldCharType="end"/>
        </w:r>
      </w:p>
    </w:sdtContent>
  </w:sdt>
  <w:p w14:paraId="6F3BB16B" w14:textId="77777777" w:rsidR="00151E52" w:rsidRDefault="00151E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358E"/>
    <w:rsid w:val="000349AA"/>
    <w:rsid w:val="00034E1A"/>
    <w:rsid w:val="00036509"/>
    <w:rsid w:val="00037D44"/>
    <w:rsid w:val="000452D5"/>
    <w:rsid w:val="00045497"/>
    <w:rsid w:val="00061935"/>
    <w:rsid w:val="00061E52"/>
    <w:rsid w:val="00065BA8"/>
    <w:rsid w:val="00066C05"/>
    <w:rsid w:val="00070E03"/>
    <w:rsid w:val="00074FDF"/>
    <w:rsid w:val="000827FD"/>
    <w:rsid w:val="000903A4"/>
    <w:rsid w:val="000A0849"/>
    <w:rsid w:val="000A1F58"/>
    <w:rsid w:val="000A5F09"/>
    <w:rsid w:val="000B0EE4"/>
    <w:rsid w:val="000C45F0"/>
    <w:rsid w:val="000C68D0"/>
    <w:rsid w:val="000C7D9F"/>
    <w:rsid w:val="000D42A5"/>
    <w:rsid w:val="000E0EC0"/>
    <w:rsid w:val="000E4E0A"/>
    <w:rsid w:val="000E7F4A"/>
    <w:rsid w:val="001045EE"/>
    <w:rsid w:val="00106F84"/>
    <w:rsid w:val="00111615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1E52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1AF5"/>
    <w:rsid w:val="00286518"/>
    <w:rsid w:val="002919FA"/>
    <w:rsid w:val="00292661"/>
    <w:rsid w:val="0029342D"/>
    <w:rsid w:val="00296E97"/>
    <w:rsid w:val="002A4EAF"/>
    <w:rsid w:val="002A5F33"/>
    <w:rsid w:val="002A7932"/>
    <w:rsid w:val="002A7A07"/>
    <w:rsid w:val="002B10BA"/>
    <w:rsid w:val="002B482D"/>
    <w:rsid w:val="002B4B80"/>
    <w:rsid w:val="002C0CB6"/>
    <w:rsid w:val="002C4193"/>
    <w:rsid w:val="002C72BE"/>
    <w:rsid w:val="002D3430"/>
    <w:rsid w:val="002E5BF9"/>
    <w:rsid w:val="002F26B6"/>
    <w:rsid w:val="003057F7"/>
    <w:rsid w:val="00310B7F"/>
    <w:rsid w:val="003146E5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3F591F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1F10"/>
    <w:rsid w:val="004E1C72"/>
    <w:rsid w:val="004E4878"/>
    <w:rsid w:val="004F0108"/>
    <w:rsid w:val="004F2EB1"/>
    <w:rsid w:val="005120A6"/>
    <w:rsid w:val="005156F3"/>
    <w:rsid w:val="005162A1"/>
    <w:rsid w:val="00521066"/>
    <w:rsid w:val="00537230"/>
    <w:rsid w:val="005422BC"/>
    <w:rsid w:val="0055114D"/>
    <w:rsid w:val="00555D82"/>
    <w:rsid w:val="0056738A"/>
    <w:rsid w:val="00570057"/>
    <w:rsid w:val="00575ACC"/>
    <w:rsid w:val="00583B90"/>
    <w:rsid w:val="00585C39"/>
    <w:rsid w:val="00587E5C"/>
    <w:rsid w:val="00592CC1"/>
    <w:rsid w:val="0059793A"/>
    <w:rsid w:val="00597A87"/>
    <w:rsid w:val="005A3B2E"/>
    <w:rsid w:val="005C6F32"/>
    <w:rsid w:val="005D2B57"/>
    <w:rsid w:val="005D4404"/>
    <w:rsid w:val="005E2BB6"/>
    <w:rsid w:val="005F1840"/>
    <w:rsid w:val="005F3C79"/>
    <w:rsid w:val="00602488"/>
    <w:rsid w:val="00603D18"/>
    <w:rsid w:val="00614B2E"/>
    <w:rsid w:val="006159D8"/>
    <w:rsid w:val="0065135E"/>
    <w:rsid w:val="0065772F"/>
    <w:rsid w:val="0066393A"/>
    <w:rsid w:val="0067105D"/>
    <w:rsid w:val="006769C5"/>
    <w:rsid w:val="00677670"/>
    <w:rsid w:val="0068044E"/>
    <w:rsid w:val="006B35BC"/>
    <w:rsid w:val="006B5901"/>
    <w:rsid w:val="006C1C82"/>
    <w:rsid w:val="006C7CF5"/>
    <w:rsid w:val="006D5A49"/>
    <w:rsid w:val="006E0576"/>
    <w:rsid w:val="006E58DB"/>
    <w:rsid w:val="006F264D"/>
    <w:rsid w:val="007101F5"/>
    <w:rsid w:val="007217A3"/>
    <w:rsid w:val="00723E16"/>
    <w:rsid w:val="00724843"/>
    <w:rsid w:val="00736120"/>
    <w:rsid w:val="00736705"/>
    <w:rsid w:val="00744AE0"/>
    <w:rsid w:val="0074795D"/>
    <w:rsid w:val="00750740"/>
    <w:rsid w:val="007553C4"/>
    <w:rsid w:val="00773779"/>
    <w:rsid w:val="00774F5E"/>
    <w:rsid w:val="00784428"/>
    <w:rsid w:val="00787E76"/>
    <w:rsid w:val="00792D21"/>
    <w:rsid w:val="007A75E3"/>
    <w:rsid w:val="007C7256"/>
    <w:rsid w:val="007D7313"/>
    <w:rsid w:val="007D7AE0"/>
    <w:rsid w:val="0081188B"/>
    <w:rsid w:val="00813D5F"/>
    <w:rsid w:val="00824974"/>
    <w:rsid w:val="008355B9"/>
    <w:rsid w:val="008514C0"/>
    <w:rsid w:val="008622F7"/>
    <w:rsid w:val="00867A74"/>
    <w:rsid w:val="00867FAA"/>
    <w:rsid w:val="00870074"/>
    <w:rsid w:val="00874772"/>
    <w:rsid w:val="00877702"/>
    <w:rsid w:val="0087798F"/>
    <w:rsid w:val="008A67AA"/>
    <w:rsid w:val="008B0CDE"/>
    <w:rsid w:val="008B37B9"/>
    <w:rsid w:val="008B68A6"/>
    <w:rsid w:val="008D1A10"/>
    <w:rsid w:val="008D6350"/>
    <w:rsid w:val="008E551C"/>
    <w:rsid w:val="008E7297"/>
    <w:rsid w:val="008F1AE5"/>
    <w:rsid w:val="008F253D"/>
    <w:rsid w:val="008F382C"/>
    <w:rsid w:val="00902716"/>
    <w:rsid w:val="00902A83"/>
    <w:rsid w:val="00902AC4"/>
    <w:rsid w:val="00907B2E"/>
    <w:rsid w:val="009171CE"/>
    <w:rsid w:val="0092010E"/>
    <w:rsid w:val="009369B0"/>
    <w:rsid w:val="00944D12"/>
    <w:rsid w:val="009537A7"/>
    <w:rsid w:val="009561F3"/>
    <w:rsid w:val="009809E0"/>
    <w:rsid w:val="009818A2"/>
    <w:rsid w:val="009A167B"/>
    <w:rsid w:val="009A4B5D"/>
    <w:rsid w:val="009B1191"/>
    <w:rsid w:val="009B13DF"/>
    <w:rsid w:val="009B2999"/>
    <w:rsid w:val="009B2F1B"/>
    <w:rsid w:val="009B42DF"/>
    <w:rsid w:val="009B6491"/>
    <w:rsid w:val="009C3F4E"/>
    <w:rsid w:val="009E1ECE"/>
    <w:rsid w:val="009E61A0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5C05"/>
    <w:rsid w:val="00A36939"/>
    <w:rsid w:val="00A40EF5"/>
    <w:rsid w:val="00A46854"/>
    <w:rsid w:val="00A479CF"/>
    <w:rsid w:val="00A51C67"/>
    <w:rsid w:val="00A57C02"/>
    <w:rsid w:val="00A66EB3"/>
    <w:rsid w:val="00A73E15"/>
    <w:rsid w:val="00A81C54"/>
    <w:rsid w:val="00A8562F"/>
    <w:rsid w:val="00A95B54"/>
    <w:rsid w:val="00AA77FC"/>
    <w:rsid w:val="00AA7D06"/>
    <w:rsid w:val="00AB0F82"/>
    <w:rsid w:val="00AB6354"/>
    <w:rsid w:val="00AC1A38"/>
    <w:rsid w:val="00AC71A6"/>
    <w:rsid w:val="00AD1FE2"/>
    <w:rsid w:val="00AD2D31"/>
    <w:rsid w:val="00AE2029"/>
    <w:rsid w:val="00AE74D4"/>
    <w:rsid w:val="00AF2844"/>
    <w:rsid w:val="00AF2FE3"/>
    <w:rsid w:val="00AF4B83"/>
    <w:rsid w:val="00B11495"/>
    <w:rsid w:val="00B21E26"/>
    <w:rsid w:val="00B23987"/>
    <w:rsid w:val="00B24445"/>
    <w:rsid w:val="00B2599C"/>
    <w:rsid w:val="00B413C9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2"/>
    <w:rsid w:val="00C33AD6"/>
    <w:rsid w:val="00C34BA3"/>
    <w:rsid w:val="00C419BE"/>
    <w:rsid w:val="00C42E6B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1FA8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7088F"/>
    <w:rsid w:val="00D80B13"/>
    <w:rsid w:val="00D81955"/>
    <w:rsid w:val="00D81C67"/>
    <w:rsid w:val="00D81DBA"/>
    <w:rsid w:val="00D82C99"/>
    <w:rsid w:val="00D86C10"/>
    <w:rsid w:val="00D91E99"/>
    <w:rsid w:val="00D92A77"/>
    <w:rsid w:val="00DA3921"/>
    <w:rsid w:val="00DB28B1"/>
    <w:rsid w:val="00DB4A4F"/>
    <w:rsid w:val="00DB710A"/>
    <w:rsid w:val="00E11AC1"/>
    <w:rsid w:val="00E12420"/>
    <w:rsid w:val="00E25E56"/>
    <w:rsid w:val="00E437C7"/>
    <w:rsid w:val="00E44FB3"/>
    <w:rsid w:val="00E639F5"/>
    <w:rsid w:val="00E65144"/>
    <w:rsid w:val="00E67B62"/>
    <w:rsid w:val="00E71096"/>
    <w:rsid w:val="00E73C17"/>
    <w:rsid w:val="00E74259"/>
    <w:rsid w:val="00E77715"/>
    <w:rsid w:val="00E85854"/>
    <w:rsid w:val="00E961BF"/>
    <w:rsid w:val="00EA3ED1"/>
    <w:rsid w:val="00EA4A0B"/>
    <w:rsid w:val="00EB1D59"/>
    <w:rsid w:val="00EC404E"/>
    <w:rsid w:val="00ED3D2B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251F"/>
    <w:rsid w:val="00F8595B"/>
    <w:rsid w:val="00FA20DF"/>
    <w:rsid w:val="00FA2C0E"/>
    <w:rsid w:val="00FB3B7B"/>
    <w:rsid w:val="00FB616C"/>
    <w:rsid w:val="00FC0EF4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14F6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4D83-501B-484B-8803-5F3E4720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48</cp:revision>
  <cp:lastPrinted>2023-11-21T06:35:00Z</cp:lastPrinted>
  <dcterms:created xsi:type="dcterms:W3CDTF">2023-12-18T06:15:00Z</dcterms:created>
  <dcterms:modified xsi:type="dcterms:W3CDTF">2023-12-18T06:44:00Z</dcterms:modified>
</cp:coreProperties>
</file>