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D4" w:rsidRDefault="00053AD4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УПРАВЛЕНИЯ ДЕЛАМИ ПРЕЗИДЕНТА РЕСПУБЛИКИ БЕЛАРУСЬ</w:t>
      </w:r>
    </w:p>
    <w:p w:rsidR="00053AD4" w:rsidRDefault="00053AD4">
      <w:pPr>
        <w:pStyle w:val="newncpi"/>
        <w:ind w:firstLine="0"/>
        <w:jc w:val="center"/>
      </w:pPr>
      <w:r>
        <w:rPr>
          <w:rStyle w:val="datepr"/>
        </w:rPr>
        <w:t>12 августа 2020 г.</w:t>
      </w:r>
      <w:r>
        <w:rPr>
          <w:rStyle w:val="number"/>
        </w:rPr>
        <w:t xml:space="preserve"> № 2</w:t>
      </w:r>
    </w:p>
    <w:p w:rsidR="00053AD4" w:rsidRDefault="00053AD4">
      <w:pPr>
        <w:pStyle w:val="titlencpi"/>
      </w:pPr>
      <w:r>
        <w:t>О перечне общехозяйственных расходов</w:t>
      </w:r>
    </w:p>
    <w:p w:rsidR="00053AD4" w:rsidRDefault="00053AD4">
      <w:pPr>
        <w:pStyle w:val="preamble"/>
      </w:pPr>
      <w:r>
        <w:t>На основании абзаца четырнадцатого части первой пункта 1 Декрета Президента Республики Беларусь от 25 мая 2020 г. № 3 «Об иностранной безвозмездной помощи», подпункта 11.4 пункта 11 Положения об Управлении делами Президента Республики Беларусь, утвержденного Указом Президента Республики Беларусь от 3 декабря 2010 г. № 620, Управление делами Президента Республики Беларусь ПОСТАНОВЛЯЕТ:</w:t>
      </w:r>
    </w:p>
    <w:p w:rsidR="00053AD4" w:rsidRDefault="00053AD4">
      <w:pPr>
        <w:pStyle w:val="point"/>
      </w:pPr>
      <w:r>
        <w:t>1. Определить перечень общехозяйственных расходов, связанных с содержанием аппарата управления юридического лица, индивидуального предпринимателя и обеспечением их деятельности, для оплаты которых может использоваться иностранная безвозмездная помощь, согласно приложению.</w:t>
      </w:r>
    </w:p>
    <w:p w:rsidR="00053AD4" w:rsidRDefault="00053AD4">
      <w:pPr>
        <w:pStyle w:val="point"/>
      </w:pPr>
      <w:r>
        <w:t>2. Настоящее постановление вступает в силу с 27 августа 2020 г.</w:t>
      </w:r>
    </w:p>
    <w:p w:rsidR="00053AD4" w:rsidRDefault="00053AD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053AD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3AD4" w:rsidRDefault="00053AD4">
            <w:pPr>
              <w:pStyle w:val="newncpi0"/>
              <w:jc w:val="left"/>
            </w:pPr>
            <w:r>
              <w:rPr>
                <w:rStyle w:val="post"/>
              </w:rPr>
              <w:t xml:space="preserve">Управляющий делами 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rStyle w:val="post"/>
              </w:rPr>
              <w:t>Президента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3AD4" w:rsidRDefault="00053AD4">
            <w:pPr>
              <w:pStyle w:val="newncpi0"/>
              <w:jc w:val="right"/>
            </w:pPr>
            <w:r>
              <w:rPr>
                <w:rStyle w:val="pers"/>
              </w:rPr>
              <w:t>В.В.Шейман</w:t>
            </w:r>
          </w:p>
        </w:tc>
      </w:tr>
    </w:tbl>
    <w:p w:rsidR="00053AD4" w:rsidRDefault="00053AD4">
      <w:pPr>
        <w:pStyle w:val="newncpi"/>
      </w:pPr>
      <w:r>
        <w:t> </w:t>
      </w:r>
    </w:p>
    <w:p w:rsidR="00053AD4" w:rsidRDefault="00053AD4">
      <w:pPr>
        <w:pStyle w:val="agree"/>
      </w:pPr>
      <w:r>
        <w:t>СОГЛАСОВАНО</w:t>
      </w:r>
    </w:p>
    <w:p w:rsidR="00053AD4" w:rsidRDefault="00053AD4">
      <w:pPr>
        <w:pStyle w:val="agree"/>
        <w:spacing w:before="120"/>
      </w:pPr>
      <w:r>
        <w:t>Верховный Суд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Генеральная прокуратура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Национальный банк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внутренних дел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жилищно-коммунального</w:t>
      </w:r>
      <w:r>
        <w:br/>
        <w:t>хозяйства Республики Беларусь</w:t>
      </w:r>
    </w:p>
    <w:p w:rsidR="00053AD4" w:rsidRDefault="00053AD4">
      <w:pPr>
        <w:pStyle w:val="agree"/>
        <w:spacing w:before="120"/>
      </w:pPr>
      <w:r>
        <w:t>Министерство здравоохранения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иностранных дел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культуры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по налогам и сборам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образования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природных ресурсов</w:t>
      </w:r>
      <w:r>
        <w:br/>
        <w:t>и охраны окружающей среды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связи и информатизации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 xml:space="preserve">Министерство сельского </w:t>
      </w:r>
      <w:r>
        <w:br/>
        <w:t xml:space="preserve">хозяйства и продовольствия 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спорта и туризма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труда и социальной</w:t>
      </w:r>
      <w:r>
        <w:br/>
        <w:t>защиты Республики Беларусь</w:t>
      </w:r>
    </w:p>
    <w:p w:rsidR="00053AD4" w:rsidRDefault="00053AD4">
      <w:pPr>
        <w:pStyle w:val="agree"/>
        <w:spacing w:before="120"/>
      </w:pPr>
      <w:r>
        <w:t>Министерство финансов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экономики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Министерство юстиции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Комитет государственной безопасности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>Государственный таможенный комитет</w:t>
      </w:r>
      <w:r>
        <w:br/>
        <w:t>Республики Беларусь</w:t>
      </w:r>
    </w:p>
    <w:p w:rsidR="00053AD4" w:rsidRDefault="00053AD4">
      <w:pPr>
        <w:pStyle w:val="agree"/>
        <w:spacing w:before="120"/>
      </w:pPr>
      <w:r>
        <w:t xml:space="preserve">Уполномоченный по делам </w:t>
      </w:r>
      <w:r>
        <w:br/>
        <w:t>религий и национальностей</w:t>
      </w:r>
    </w:p>
    <w:p w:rsidR="00053AD4" w:rsidRDefault="00053AD4">
      <w:pPr>
        <w:pStyle w:val="agree"/>
        <w:spacing w:before="120"/>
      </w:pPr>
      <w:r>
        <w:t xml:space="preserve">Брестский областной </w:t>
      </w:r>
      <w:r>
        <w:br/>
        <w:t>исполнительный комитет</w:t>
      </w:r>
    </w:p>
    <w:p w:rsidR="00053AD4" w:rsidRDefault="00053AD4">
      <w:pPr>
        <w:pStyle w:val="agree"/>
        <w:spacing w:before="120"/>
      </w:pPr>
      <w:r>
        <w:t xml:space="preserve">Витебский областной </w:t>
      </w:r>
      <w:r>
        <w:br/>
        <w:t>исполнительный комитет</w:t>
      </w:r>
    </w:p>
    <w:p w:rsidR="00053AD4" w:rsidRDefault="00053AD4">
      <w:pPr>
        <w:pStyle w:val="agree"/>
        <w:spacing w:before="120"/>
      </w:pPr>
      <w:r>
        <w:t xml:space="preserve">Гомельский областной </w:t>
      </w:r>
      <w:r>
        <w:br/>
        <w:t>исполнительный комитет</w:t>
      </w:r>
    </w:p>
    <w:p w:rsidR="00053AD4" w:rsidRDefault="00053AD4">
      <w:pPr>
        <w:pStyle w:val="agree"/>
        <w:spacing w:before="120"/>
      </w:pPr>
      <w:r>
        <w:t xml:space="preserve">Гродненский областной </w:t>
      </w:r>
      <w:r>
        <w:br/>
        <w:t>исполнительный комитет</w:t>
      </w:r>
    </w:p>
    <w:p w:rsidR="00053AD4" w:rsidRDefault="00053AD4">
      <w:pPr>
        <w:pStyle w:val="agree"/>
        <w:spacing w:before="120"/>
      </w:pPr>
      <w:r>
        <w:t xml:space="preserve">Минский городской </w:t>
      </w:r>
      <w:r>
        <w:br/>
        <w:t>исполнительный комитет</w:t>
      </w:r>
    </w:p>
    <w:p w:rsidR="00053AD4" w:rsidRDefault="00053AD4">
      <w:pPr>
        <w:pStyle w:val="agree"/>
        <w:spacing w:before="120"/>
      </w:pPr>
      <w:r>
        <w:t xml:space="preserve">Минский областной </w:t>
      </w:r>
      <w:r>
        <w:br/>
        <w:t>исполнительный комитет</w:t>
      </w:r>
    </w:p>
    <w:p w:rsidR="00053AD4" w:rsidRDefault="00053AD4">
      <w:pPr>
        <w:pStyle w:val="agree"/>
        <w:spacing w:before="120"/>
      </w:pPr>
      <w:r>
        <w:t xml:space="preserve">Могилевский областной </w:t>
      </w:r>
      <w:r>
        <w:br/>
        <w:t>исполнительный комитет</w:t>
      </w:r>
    </w:p>
    <w:p w:rsidR="00053AD4" w:rsidRDefault="00053AD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09"/>
        <w:gridCol w:w="3260"/>
      </w:tblGrid>
      <w:tr w:rsidR="00053AD4">
        <w:tc>
          <w:tcPr>
            <w:tcW w:w="32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3AD4" w:rsidRDefault="00053AD4">
            <w:pPr>
              <w:pStyle w:val="newncpi"/>
            </w:pPr>
            <w:r>
              <w:t> </w:t>
            </w:r>
          </w:p>
        </w:tc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3AD4" w:rsidRDefault="00053AD4">
            <w:pPr>
              <w:pStyle w:val="append1"/>
            </w:pPr>
            <w:r>
              <w:t>Приложение</w:t>
            </w:r>
          </w:p>
          <w:p w:rsidR="00053AD4" w:rsidRDefault="00053AD4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Управления делами Президента </w:t>
            </w:r>
            <w:r>
              <w:br/>
              <w:t xml:space="preserve">Республики Беларусь </w:t>
            </w:r>
            <w:r>
              <w:br/>
              <w:t xml:space="preserve">12.08.2020 № 2 </w:t>
            </w:r>
          </w:p>
        </w:tc>
      </w:tr>
    </w:tbl>
    <w:p w:rsidR="00053AD4" w:rsidRDefault="00053AD4">
      <w:pPr>
        <w:pStyle w:val="titlep"/>
        <w:jc w:val="left"/>
      </w:pPr>
      <w:r>
        <w:t>ПЕРЕЧЕНЬ</w:t>
      </w:r>
      <w:r>
        <w:br/>
        <w:t>общехозяйственных расходов, связанных с содержанием аппарата управления юридического лица, индивидуального предпринимателя и обеспечением их деятельности, для оплаты которых может использоваться иностранная безвозмездная помощь</w:t>
      </w:r>
    </w:p>
    <w:p w:rsidR="00053AD4" w:rsidRDefault="00053AD4">
      <w:pPr>
        <w:pStyle w:val="point"/>
      </w:pPr>
      <w:r>
        <w:t xml:space="preserve">1. Расходы на оплату </w:t>
      </w:r>
      <w:proofErr w:type="gramStart"/>
      <w:r>
        <w:t>труда работников аппарата управления юридического лица</w:t>
      </w:r>
      <w:proofErr w:type="gramEnd"/>
      <w:r>
        <w:t>, индивидуального предпринимателя и работников, выполняющих функции по обслуживанию аппарата управления юридического лица, индивидуального предпринимателя.</w:t>
      </w:r>
    </w:p>
    <w:p w:rsidR="00053AD4" w:rsidRDefault="00053AD4">
      <w:pPr>
        <w:pStyle w:val="newncpi"/>
      </w:pPr>
      <w:r>
        <w:t>Расходы на предоставление гарантий и компенсаций, предусмотренных законодательством о труде, работникам, перечисленным в части первой настоящего пункта.</w:t>
      </w:r>
    </w:p>
    <w:p w:rsidR="00053AD4" w:rsidRDefault="00053AD4">
      <w:pPr>
        <w:pStyle w:val="point"/>
      </w:pPr>
      <w:r>
        <w:t>2. </w:t>
      </w:r>
      <w:proofErr w:type="gramStart"/>
      <w:r>
        <w:t>Расходы на вознаграждения по гражданско-правовым договорам, заключенным с физическими лицами, не являющимися индивидуальными предпринимателями, на оказание услуг (выполнение работ), относящихся к функциям аппарата управления юридического лица, индивидуального предпринимателя, а также к функциям по обслуживанию аппарата управления юридического лица, индивидуального предпринимателя.</w:t>
      </w:r>
      <w:proofErr w:type="gramEnd"/>
    </w:p>
    <w:p w:rsidR="00053AD4" w:rsidRDefault="00053AD4">
      <w:pPr>
        <w:pStyle w:val="point"/>
      </w:pPr>
      <w:r>
        <w:t>3. Расходы на обязательные страховые взносы в бюджет государственного внебюджетного фонда социальной защиты населения Республики Беларусь, включая взносы на профессиональное пенсионное страхование, а также страховые взносы по обязательному страхованию от несчастных случаев на производстве и профессиональных заболеваний, начисленные на расходы, указанные в пунктах 1 и 2 настоящего приложения.</w:t>
      </w:r>
    </w:p>
    <w:p w:rsidR="00053AD4" w:rsidRDefault="00053AD4">
      <w:pPr>
        <w:pStyle w:val="point"/>
      </w:pPr>
      <w:r>
        <w:t>4. Расходы на содержание и обслуживание основных средств и нематериальных активов общехозяйственного назначения, включая техническое обслуживание, капитальный и текущий ремонты, амортизационные отчисления от стоимости основных средств и нематериальных активов.</w:t>
      </w:r>
    </w:p>
    <w:p w:rsidR="00053AD4" w:rsidRDefault="00053AD4">
      <w:pPr>
        <w:pStyle w:val="point"/>
      </w:pPr>
      <w:r>
        <w:t>5. Расходы на содержание и обслуживание отдельных предметов в составе средств в обороте общехозяйственного назначения (далее – отдельные предметы), включая погашение их стоимости, техническое обслуживание, капитальный и текущий ремонты отдельных предметов, стоимость использованных материалов общехозяйственного назначения.</w:t>
      </w:r>
    </w:p>
    <w:p w:rsidR="00053AD4" w:rsidRDefault="00053AD4">
      <w:pPr>
        <w:pStyle w:val="point"/>
      </w:pPr>
      <w:r>
        <w:t>6. </w:t>
      </w:r>
      <w:proofErr w:type="gramStart"/>
      <w:r>
        <w:t>Расходы, связанные с временным владением и пользованием или временным пользованием имуществом общехозяйственного назначения по договору аренды (временным владением и пользованием имуществом общехозяйственного назначения по договору финансовой аренды (лизинга), по договору безвозмездного пользования.</w:t>
      </w:r>
      <w:proofErr w:type="gramEnd"/>
    </w:p>
    <w:p w:rsidR="00053AD4" w:rsidRDefault="00053AD4">
      <w:pPr>
        <w:pStyle w:val="point"/>
      </w:pPr>
      <w:r>
        <w:t>7. Расходы на коммунальные услуги, благоустройство и содержание территорий, относящиеся к объектам общехозяйственного назначения юридического лица, индивидуального предпринимателя.</w:t>
      </w:r>
    </w:p>
    <w:p w:rsidR="00053AD4" w:rsidRDefault="00053AD4">
      <w:pPr>
        <w:pStyle w:val="point"/>
      </w:pPr>
      <w:r>
        <w:t>8. Расходы на вознаграждения правообладателям за использование объектов интеллектуальной собственности общехозяйственного назначения, не являющихся нематериальными активами юридического лица, индивидуального предпринимателя.</w:t>
      </w:r>
    </w:p>
    <w:p w:rsidR="00053AD4" w:rsidRDefault="00053AD4">
      <w:pPr>
        <w:pStyle w:val="point"/>
      </w:pPr>
      <w:r>
        <w:t>9. Расходы на услуги связи, в том числе по предоставлению доступа к глобальной компьютерной сети Интернет.</w:t>
      </w:r>
    </w:p>
    <w:p w:rsidR="00053AD4" w:rsidRDefault="00053AD4">
      <w:pPr>
        <w:pStyle w:val="point"/>
      </w:pPr>
      <w:r>
        <w:t>10. Расходы на услуги банков.</w:t>
      </w:r>
    </w:p>
    <w:p w:rsidR="00053AD4" w:rsidRDefault="00053AD4">
      <w:pPr>
        <w:pStyle w:val="point"/>
      </w:pPr>
      <w:r>
        <w:t>11. Расходы на охрану труда, а также повышение квалификации, переподготовку, профессиональную подготовку и стажировку работников аппарата управления юридического лица, индивидуального предпринимателя и работников, выполняющих функции по обслуживанию аппарата управления юридического лица, индивидуального предпринимателя.</w:t>
      </w:r>
    </w:p>
    <w:p w:rsidR="00053AD4" w:rsidRDefault="00053AD4">
      <w:pPr>
        <w:pStyle w:val="point"/>
      </w:pPr>
      <w:r>
        <w:t>12. Расходы на консультационные, информационные, аудиторские и иные услуги общехозяйственного назначения, оказанные сторонними организациями и индивидуальными предпринимателями.</w:t>
      </w:r>
    </w:p>
    <w:p w:rsidR="00053AD4" w:rsidRDefault="00053AD4">
      <w:pPr>
        <w:pStyle w:val="point"/>
      </w:pPr>
      <w:r>
        <w:t>13. Налоги и сборы, включаемые в состав затрат по производству и реализации товаров (работ, услуг), имущественных прав и исчисляемые по деятельности аппарата управления юридического лица, индивидуального предпринимателя.</w:t>
      </w:r>
    </w:p>
    <w:p w:rsidR="00053AD4" w:rsidRDefault="00053AD4">
      <w:pPr>
        <w:pStyle w:val="point"/>
      </w:pPr>
      <w:r>
        <w:t>14. Плата за регистрацию иностранной безвозмездной помощи.</w:t>
      </w:r>
    </w:p>
    <w:p w:rsidR="00053AD4" w:rsidRDefault="00053AD4">
      <w:pPr>
        <w:pStyle w:val="newncpi"/>
      </w:pPr>
      <w:r>
        <w:t> </w:t>
      </w:r>
    </w:p>
    <w:p w:rsidR="00DA1655" w:rsidRDefault="00DA1655"/>
    <w:sectPr w:rsidR="00DA1655" w:rsidSect="00B4571A">
      <w:pgSz w:w="11906" w:h="16838"/>
      <w:pgMar w:top="567" w:right="1133" w:bottom="567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revisionView w:markup="0"/>
  <w:defaultTabStop w:val="708"/>
  <w:drawingGridHorizontalSpacing w:val="110"/>
  <w:displayHorizontalDrawingGridEvery w:val="2"/>
  <w:characterSpacingControl w:val="doNotCompress"/>
  <w:compat/>
  <w:rsids>
    <w:rsidRoot w:val="00053AD4"/>
    <w:rsid w:val="00053AD4"/>
    <w:rsid w:val="006A4180"/>
    <w:rsid w:val="006E4C28"/>
    <w:rsid w:val="00750E5C"/>
    <w:rsid w:val="008012F8"/>
    <w:rsid w:val="00AB7361"/>
    <w:rsid w:val="00DA1655"/>
    <w:rsid w:val="00DB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53AD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53AD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53AD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53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53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053A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53AD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3AD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3A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3AD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3AD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3AD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3AD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53AD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3AD4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2021-07-05T13:16:00Z</dcterms:created>
  <dcterms:modified xsi:type="dcterms:W3CDTF">2021-07-05T13:17:00Z</dcterms:modified>
</cp:coreProperties>
</file>